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222</w:t>
      </w:r>
    </w:p>
    <w:p>
      <w:r>
        <w:t>Bundesgericht (BGE), 1994-06-20, FR</w:t>
      </w:r>
    </w:p>
    <w:p>
      <w:r>
        <w:rPr>
          <w:b/>
        </w:rPr>
        <w:t xml:space="preserve">Quelle: </w:t>
      </w:r>
      <w:r>
        <w:t>https://mcp.opencaselaw.ch/entscheid/bge_120 II 222</w:t>
      </w:r>
    </w:p>
    <w:p>
      <w:r>
        <w:t>FR: ATF 120 II 222</w:t>
      </w:r>
    </w:p>
    <w:p>
      <w:r>
        <w:t>IT: DTF 120 II 222</w:t>
      </w:r>
    </w:p>
    <w:p>
      <w:pPr>
        <w:pStyle w:val="Heading2"/>
      </w:pPr>
      <w:r>
        <w:t>Regeste</w:t>
      </w:r>
    </w:p>
    <w:p>
      <w:r>
        <w:t>Regeste Haager Übereinkommen vom 25. Oktober 1980 über die zivilrechtlichen Aspekte internationaler Kindesentführung (SR 0.211.230.02); Anordnung der sofortigen Rückgabe des Kindes; Natur des Entscheids; Unzulässigkeit der Berufung. Der Richter, der aufgrund des Übereinkommens über die sofortige Rückgabe des Kindes zu entscheiden hat, befindet weder über das Sorgerecht des ersuchenden Elternteils noch über dasjenige des Elternteils, der das Kind "entführt" hat. Der Entscheid wird nicht im Rahmen einer Zivilrechtsstreitigkeit gefällt und kann nicht mit Berufung angefochten werden (E. 2b).</w:t>
      </w:r>
    </w:p>
    <w:p>
      <w:pPr>
        <w:pStyle w:val="Heading2"/>
      </w:pPr>
      <w:r>
        <w:t>Erwägungen</w:t>
      </w:r>
    </w:p>
    <w:p>
      <w:r>
        <w:rPr>
          <w:b/>
        </w:rPr>
        <w:t>E. 2</w:t>
      </w:r>
    </w:p>
    <w:p>
      <w:r>
        <w:t>En l'espèce, la décision de la Justice de paix, confirmée sur recours par la Chambre des tutelles, lève les mesures tendant au retrait du droit de garde de la mère de l'enfant et statue sur le retour de ce dernier dans l'Etat de sa résidence antérieure. a) En tant qu'elle révoque à titre préalable, une mesure provisoire relative au droit de garde, la décision attaquée n'est pas susceptible de recours en réforme. En effet, un prononcé portant sur le droit de garde n'a pas pour objet une contestation civile non pécuniaire BGE 120 II 222 S. 224 (cf. art. 44 let . f OJ, ATF 109 II 388 consid. 1; contra toutefois POUDRET, Commentaire de la loi fédérale d'organisation judiciaire, n. 1.2.26 ad Titre II et n. 2.6 ad art. 44 OJ ). Même si tel était le cas, le recours, dirigé contre décision rendue sur une mesure provisoire, ne serait pas recevable faute de décision finale au sens de l' art. 48 OJ (cf. POUDRET, op.cit., n. 1.1.6 et 1.1.6.1 ad art. 48 OJ ). b) Dans la mesure où la décision de la Chambre des tutelles ordonne le retour de l'enfant, elle n'est pas davantage susceptible de recours en réforme. Le juge, appelé, en application de la Convention, à statuer sur le retour de l'enfant amené ou retenu illicitement dans un Etat autre que celui de sa résidence habituelle, ne se prononce pas, ne serait-ce que provisoirement, sur le droit de garde du parent requérant, ni, par conséquent, sur celui du parent "ravisseur" (cf. art. 19 de la Convention). Il ne fait que constater si les conditions d'application de la Convention sont remplies et ordonne, le cas échéant, le retour immédiat de l'enfant. Les art. 43 ss OJ ne prévoient pas expressément de recours contre les décisions statuant sur le retour de l'enfant au sens de la Convention. Le recours en réforme ne serait dès lors recevable à l'égard de ces décisions que si elles revêtaient le caractère de contestations civiles au sens des art. 44-46 OJ .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(cf. ATF 112 II 145 consid. 1, ATF 110 II 9 consid. 1b). "La Convention", indique le Message y relatif du 24 novembre 1982 (FF 1983 I 197 ch. 23), "institue une sorte d'entraide administrative entre les Etats contractants. Elle détermine les cas dans lesquels les autorités judiciaires et administratives devront ordonner le retour de l'enfant". Il en découle que la décision ordonnant le retour n'est pas rendue dans une procédure visant à provoquer une décision définitive sur des rapports de droit civil. La Convention constitue un instrument international visant à faciliter le respect et la mise en oeuvre d'une décision étrangère portant notamment sur le droit de garde, et non pas à modifier une telle décision. Partant, on ne se trouve pas en présence d'une contestation civile et le recours en réforme est irrecevable (dans ce sens, l'irrecevabilité du recours en réforme ayant toutefois été motivée par l'absence de décision finale au sens de l' art. 48 OJ , cf. ATF 114 Ia 200 , p. 204 consid. 2c, et l'arrêt non publié du 30 juillet 1990 en la cause V.-P.).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